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R4-2206819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  <w:bookmarkEnd w:id="2"/>
      <w:bookmarkEnd w:id="3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562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38174 on antenna connectors and RIBs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22-02-11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 current version of 38.174, some symbols, abbreviations and requirements are defined with respect to how the IAB-MT receives a certain signal or power level measured at a certain interface. For FR1, such statement is accurate, but for FR2 there is no such concept as the antenna connector.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Specify that the measurement is done at either TAB connectors or RIBs.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Also specify that the timing offset is defined for both IAB-MT and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definitions and requirements are described in a way that only covers FR1 but not FR2, and involves inaccurate description such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antenna connector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3.2, 3.3, 12.2.4.2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R4-2205405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3"/>
      </w:pPr>
      <w:bookmarkStart w:id="5" w:name="_Toc89948911"/>
      <w:bookmarkStart w:id="6" w:name="_Toc61183721"/>
      <w:bookmarkStart w:id="7" w:name="_Toc57821051"/>
      <w:bookmarkStart w:id="8" w:name="_Toc61184895"/>
      <w:bookmarkStart w:id="9" w:name="_Toc82450522"/>
      <w:bookmarkStart w:id="10" w:name="_Toc53185275"/>
      <w:bookmarkStart w:id="11" w:name="_Toc57820124"/>
      <w:bookmarkStart w:id="12" w:name="_Toc61184113"/>
      <w:bookmarkStart w:id="13" w:name="_Toc66386238"/>
      <w:bookmarkStart w:id="14" w:name="_Toc61183327"/>
      <w:bookmarkStart w:id="15" w:name="_Toc61184505"/>
      <w:bookmarkStart w:id="16" w:name="_Toc74583079"/>
      <w:bookmarkStart w:id="17" w:name="_Toc82449874"/>
      <w:bookmarkStart w:id="18" w:name="_Toc18916148"/>
      <w:bookmarkStart w:id="19" w:name="_Toc13080118"/>
      <w:bookmarkStart w:id="20" w:name="_Toc76541892"/>
      <w:bookmarkStart w:id="21" w:name="_Toc53185651"/>
      <w:r>
        <w:t>3.2</w:t>
      </w:r>
      <w:r>
        <w:tab/>
      </w:r>
      <w:r>
        <w:t>Symbols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</w:pPr>
      <w:r>
        <w:t>For the purposes of the present document, the following symbols apply:</w:t>
      </w:r>
    </w:p>
    <w:p>
      <w:pPr>
        <w:pStyle w:val="63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</w:r>
      <w:r>
        <w:rPr>
          <w:rFonts w:cs="v5.0.0"/>
        </w:rPr>
        <w:t>Percentage of the mean transmitted power emitted outside the occupied bandwidth on the assigned channel</w:t>
      </w:r>
    </w:p>
    <w:p>
      <w:pPr>
        <w:pStyle w:val="63"/>
      </w:pPr>
      <w:r>
        <w:t>BeW</w:t>
      </w:r>
      <w:r>
        <w:rPr>
          <w:vertAlign w:val="subscript"/>
        </w:rPr>
        <w:t>θ,REFSENS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>
      <w:pPr>
        <w:pStyle w:val="63"/>
      </w:pPr>
      <w:r>
        <w:t>BeW</w:t>
      </w:r>
      <w:r>
        <w:rPr>
          <w:vertAlign w:val="subscript"/>
        </w:rPr>
        <w:t>φ,REFSENS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>
      <w:pPr>
        <w:pStyle w:val="63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>
      <w:pPr>
        <w:pStyle w:val="63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edge,low.</w:t>
      </w:r>
    </w:p>
    <w:p>
      <w:pPr>
        <w:pStyle w:val="63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>
      <w:pPr>
        <w:pStyle w:val="63"/>
      </w:pPr>
      <w:r>
        <w:t>BW</w:t>
      </w:r>
      <w:r>
        <w:rPr>
          <w:vertAlign w:val="subscript"/>
        </w:rPr>
        <w:t>Contiguous</w:t>
      </w:r>
      <w:r>
        <w:tab/>
      </w:r>
      <w:r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>
      <w:pPr>
        <w:pStyle w:val="63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</w:r>
      <w:r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>
      <w:pPr>
        <w:pStyle w:val="63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>
      <w:pPr>
        <w:pStyle w:val="63"/>
      </w:pPr>
      <w:r>
        <w:t>Δf</w:t>
      </w:r>
      <w:r>
        <w:rPr>
          <w:vertAlign w:val="subscript"/>
        </w:rPr>
        <w:t>OBUE</w:t>
      </w:r>
      <w:r>
        <w:tab/>
      </w:r>
      <w:r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>
      <w:pPr>
        <w:pStyle w:val="63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>
      <w:pPr>
        <w:pStyle w:val="63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>
      <w:pPr>
        <w:pStyle w:val="63"/>
      </w:pPr>
      <w:r>
        <w:t>Δ</w:t>
      </w:r>
      <w:r>
        <w:rPr>
          <w:vertAlign w:val="subscript"/>
        </w:rPr>
        <w:t>minSENS</w:t>
      </w:r>
      <w:r>
        <w:tab/>
      </w:r>
      <w:r>
        <w:t>Difference between conducted reference sensitivity and minSENS</w:t>
      </w:r>
    </w:p>
    <w:p>
      <w:pPr>
        <w:pStyle w:val="63"/>
      </w:pPr>
      <w:r>
        <w:t>Δ</w:t>
      </w:r>
      <w:r>
        <w:rPr>
          <w:vertAlign w:val="subscript"/>
        </w:rPr>
        <w:t>OTAREFSENS</w:t>
      </w:r>
      <w:r>
        <w:tab/>
      </w:r>
      <w:r>
        <w:t>Difference between conducted reference sensitivity and OTA REFSENS</w:t>
      </w:r>
    </w:p>
    <w:p>
      <w:pPr>
        <w:pStyle w:val="63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>
      <w:pPr>
        <w:pStyle w:val="63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>
      <w:pPr>
        <w:pStyle w:val="63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>
      <w:pPr>
        <w:pStyle w:val="63"/>
        <w:rPr>
          <w:rFonts w:hint="default"/>
          <w:lang w:val="en-US"/>
        </w:rPr>
      </w:pPr>
      <w:r>
        <w:t>Ês</w:t>
      </w:r>
      <w:r>
        <w:tab/>
      </w:r>
      <w:r>
        <w:t xml:space="preserve">Received energy per RE (power normalized to the subcarrier spacing) during the useful part of the symbol, i.e. excluding the cyclic prefix, at the IAB-MT </w:t>
      </w:r>
      <w:del w:id="0" w:author="Ricky (ZTE)" w:date="2022-02-28T10:58:48Z">
        <w:r>
          <w:rPr>
            <w:rFonts w:hint="default"/>
            <w:lang w:val="en-US"/>
          </w:rPr>
          <w:delText>antenna</w:delText>
        </w:r>
      </w:del>
      <w:ins w:id="1" w:author="Ricky (ZTE)" w:date="2022-02-28T10:58:48Z">
        <w:r>
          <w:rPr>
            <w:rFonts w:hint="eastAsia" w:eastAsia="宋体"/>
            <w:lang w:val="en-US" w:eastAsia="zh-CN"/>
          </w:rPr>
          <w:t>T</w:t>
        </w:r>
      </w:ins>
      <w:ins w:id="2" w:author="Ricky (ZTE)" w:date="2022-02-28T10:58:49Z">
        <w:r>
          <w:rPr>
            <w:rFonts w:hint="eastAsia" w:eastAsia="宋体"/>
            <w:lang w:val="en-US" w:eastAsia="zh-CN"/>
          </w:rPr>
          <w:t>AB</w:t>
        </w:r>
      </w:ins>
      <w:r>
        <w:t xml:space="preserve"> connector</w:t>
      </w:r>
      <w:ins w:id="3" w:author="Ricky (ZTE)" w:date="2022-02-11T16:18:04Z">
        <w:r>
          <w:rPr>
            <w:rFonts w:hint="eastAsia" w:eastAsia="宋体"/>
            <w:lang w:val="en-US" w:eastAsia="zh-CN"/>
          </w:rPr>
          <w:t xml:space="preserve"> or </w:t>
        </w:r>
      </w:ins>
      <w:ins w:id="4" w:author="Ricky (ZTE)" w:date="2022-02-28T11:00:04Z">
        <w:r>
          <w:rPr>
            <w:rFonts w:hint="eastAsia" w:eastAsia="宋体"/>
            <w:lang w:val="en-US" w:eastAsia="zh-CN"/>
          </w:rPr>
          <w:t>R</w:t>
        </w:r>
      </w:ins>
      <w:ins w:id="5" w:author="Ricky (ZTE)" w:date="2022-02-28T11:00:05Z">
        <w:r>
          <w:rPr>
            <w:rFonts w:hint="eastAsia" w:eastAsia="宋体"/>
            <w:lang w:val="en-US" w:eastAsia="zh-CN"/>
          </w:rPr>
          <w:t>IB</w:t>
        </w:r>
      </w:ins>
    </w:p>
    <w:p>
      <w:pPr>
        <w:pStyle w:val="63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63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</w:r>
      <w:r>
        <w:rPr>
          <w:lang w:eastAsia="zh-CN"/>
        </w:rPr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63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>
      <w:pPr>
        <w:pStyle w:val="63"/>
      </w:pPr>
      <w:r>
        <w:t>F</w:t>
      </w:r>
      <w:r>
        <w:rPr>
          <w:vertAlign w:val="subscript"/>
        </w:rPr>
        <w:t>C,high</w:t>
      </w:r>
      <w:r>
        <w:tab/>
      </w:r>
      <w:r>
        <w:t>The</w:t>
      </w:r>
      <w:r>
        <w:rPr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>
      <w:pPr>
        <w:pStyle w:val="63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63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63"/>
      </w:pPr>
      <w:r>
        <w:t>F</w:t>
      </w:r>
      <w:r>
        <w:rPr>
          <w:vertAlign w:val="subscript"/>
        </w:rPr>
        <w:t>edge,low</w:t>
      </w:r>
      <w:r>
        <w:tab/>
      </w:r>
      <w:r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63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</w:r>
      <w:r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63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>
      <w:pPr>
        <w:pStyle w:val="63"/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>
      <w:pPr>
        <w:pStyle w:val="63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</w:r>
      <w:r>
        <w:t>Frequency steps for the OTA transmitter spurious emissions (Category B)</w:t>
      </w:r>
    </w:p>
    <w:p>
      <w:pPr>
        <w:pStyle w:val="63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63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63"/>
      </w:pPr>
      <w:r>
        <w:t>Io</w:t>
      </w:r>
      <w:r>
        <w:tab/>
      </w:r>
      <w:r>
        <w:t xml:space="preserve">The total received power density, including signal and interference, as measured at the IAB-MT </w:t>
      </w:r>
      <w:del w:id="6" w:author="Ricky (ZTE)" w:date="2022-02-28T10:58:59Z">
        <w:r>
          <w:rPr>
            <w:rFonts w:hint="default"/>
            <w:lang w:val="en-US"/>
          </w:rPr>
          <w:delText>antenna</w:delText>
        </w:r>
      </w:del>
      <w:ins w:id="7" w:author="Ricky (ZTE)" w:date="2022-02-28T10:58:59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</w:t>
      </w:r>
      <w:ins w:id="8" w:author="Ricky (ZTE)" w:date="2022-02-11T16:18:11Z">
        <w:r>
          <w:rPr>
            <w:rFonts w:hint="eastAsia" w:eastAsia="宋体"/>
            <w:lang w:val="en-US" w:eastAsia="zh-CN"/>
          </w:rPr>
          <w:t xml:space="preserve"> or </w:t>
        </w:r>
      </w:ins>
      <w:ins w:id="9" w:author="Ricky (ZTE)" w:date="2022-02-28T11:00:10Z">
        <w:r>
          <w:rPr>
            <w:rFonts w:hint="eastAsia" w:eastAsia="宋体"/>
            <w:lang w:val="en-US" w:eastAsia="zh-CN"/>
          </w:rPr>
          <w:t>RIB</w:t>
        </w:r>
      </w:ins>
      <w:r>
        <w:t>.</w:t>
      </w:r>
    </w:p>
    <w:p>
      <w:pPr>
        <w:pStyle w:val="63"/>
      </w:pPr>
      <w:r>
        <w:t>Ioc</w:t>
      </w:r>
      <w:r>
        <w:tab/>
      </w:r>
      <w:r>
        <w:t xml:space="preserve">The power spectral density </w:t>
      </w:r>
      <w:r>
        <w:rPr>
          <w:rFonts w:eastAsia="?? ??"/>
        </w:rPr>
        <w:t xml:space="preserve">(integrated in a noise bandwidth equal to the chip rate and normalized to the chip rate) </w:t>
      </w:r>
      <w:r>
        <w:t xml:space="preserve">of a band limited noise source (simulating interference from cells, which are not defined in a test procedure) as measured at the IAB-MT </w:t>
      </w:r>
      <w:del w:id="10" w:author="Ricky (ZTE)" w:date="2022-02-28T10:59:04Z">
        <w:r>
          <w:rPr>
            <w:rFonts w:hint="default"/>
            <w:lang w:val="en-US"/>
          </w:rPr>
          <w:delText>antenna</w:delText>
        </w:r>
      </w:del>
      <w:ins w:id="11" w:author="Ricky (ZTE)" w:date="2022-02-28T10:59:04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</w:t>
      </w:r>
      <w:ins w:id="12" w:author="Ricky (ZTE)" w:date="2022-02-11T16:18:16Z">
        <w:r>
          <w:rPr>
            <w:rFonts w:hint="eastAsia" w:eastAsia="宋体"/>
            <w:lang w:val="en-US" w:eastAsia="zh-CN"/>
          </w:rPr>
          <w:t xml:space="preserve"> or </w:t>
        </w:r>
      </w:ins>
      <w:ins w:id="13" w:author="Ricky (ZTE)" w:date="2022-02-28T11:00:15Z">
        <w:r>
          <w:rPr>
            <w:rFonts w:hint="eastAsia" w:eastAsia="宋体"/>
            <w:lang w:val="en-US" w:eastAsia="zh-CN"/>
          </w:rPr>
          <w:t>R</w:t>
        </w:r>
      </w:ins>
      <w:ins w:id="14" w:author="Ricky (ZTE)" w:date="2022-02-28T11:00:16Z">
        <w:r>
          <w:rPr>
            <w:rFonts w:hint="eastAsia" w:eastAsia="宋体"/>
            <w:lang w:val="en-US" w:eastAsia="zh-CN"/>
          </w:rPr>
          <w:t>IB</w:t>
        </w:r>
      </w:ins>
      <w:r>
        <w:t>.</w:t>
      </w:r>
    </w:p>
    <w:p>
      <w:pPr>
        <w:pStyle w:val="63"/>
        <w:rPr>
          <w:rFonts w:hint="default" w:eastAsia="?? ??"/>
          <w:lang w:val="en-US"/>
        </w:rPr>
      </w:pPr>
      <w:r>
        <w:t>Iot</w:t>
      </w:r>
      <w:r>
        <w:tab/>
      </w:r>
      <w:r>
        <w:rPr>
          <w:rFonts w:eastAsia="?? ??"/>
        </w:rPr>
        <w:t>The received power spectral density</w:t>
      </w:r>
      <w:r>
        <w:t xml:space="preserve"> </w:t>
      </w:r>
      <w:r>
        <w:rPr>
          <w:rFonts w:eastAsia="?? ??"/>
        </w:rPr>
        <w:t xml:space="preserve">of the total noise and interference </w:t>
      </w:r>
      <w:r>
        <w:t xml:space="preserve">for a certain IAB-MT (power integrated over the RE and normalized to the subcarrier spacing) </w:t>
      </w:r>
      <w:r>
        <w:rPr>
          <w:rFonts w:eastAsia="?? ??"/>
        </w:rPr>
        <w:t xml:space="preserve">as measured at the </w:t>
      </w:r>
      <w:r>
        <w:t xml:space="preserve">IAB-MT </w:t>
      </w:r>
      <w:del w:id="15" w:author="Ricky (ZTE)" w:date="2022-02-28T10:59:08Z">
        <w:r>
          <w:rPr>
            <w:rFonts w:hint="default" w:eastAsia="?? ??"/>
            <w:lang w:val="en-US"/>
          </w:rPr>
          <w:delText>antenna</w:delText>
        </w:r>
      </w:del>
      <w:ins w:id="16" w:author="Ricky (ZTE)" w:date="2022-02-28T10:59:08Z">
        <w:r>
          <w:rPr>
            <w:rFonts w:hint="eastAsia" w:eastAsia="宋体"/>
            <w:lang w:val="en-US" w:eastAsia="zh-CN"/>
          </w:rPr>
          <w:t>TA</w:t>
        </w:r>
      </w:ins>
      <w:ins w:id="17" w:author="Ricky (ZTE)" w:date="2022-02-28T10:59:09Z">
        <w:r>
          <w:rPr>
            <w:rFonts w:hint="eastAsia" w:eastAsia="宋体"/>
            <w:lang w:val="en-US" w:eastAsia="zh-CN"/>
          </w:rPr>
          <w:t>B</w:t>
        </w:r>
      </w:ins>
      <w:r>
        <w:rPr>
          <w:rFonts w:eastAsia="?? ??"/>
        </w:rPr>
        <w:t xml:space="preserve"> connector</w:t>
      </w:r>
      <w:ins w:id="18" w:author="Ricky (ZTE)" w:date="2022-02-11T16:18:21Z">
        <w:r>
          <w:rPr>
            <w:rFonts w:hint="eastAsia" w:eastAsia="宋体"/>
            <w:lang w:val="en-US" w:eastAsia="zh-CN"/>
          </w:rPr>
          <w:t xml:space="preserve"> or </w:t>
        </w:r>
      </w:ins>
      <w:ins w:id="19" w:author="Ricky (ZTE)" w:date="2022-02-28T11:00:23Z">
        <w:r>
          <w:rPr>
            <w:rFonts w:hint="eastAsia" w:eastAsia="宋体"/>
            <w:lang w:val="en-US" w:eastAsia="zh-CN"/>
          </w:rPr>
          <w:t>RI</w:t>
        </w:r>
      </w:ins>
      <w:ins w:id="20" w:author="Ricky (ZTE)" w:date="2022-02-28T11:00:24Z">
        <w:r>
          <w:rPr>
            <w:rFonts w:hint="eastAsia" w:eastAsia="宋体"/>
            <w:lang w:val="en-US" w:eastAsia="zh-CN"/>
          </w:rPr>
          <w:t>B</w:t>
        </w:r>
      </w:ins>
    </w:p>
    <w:p>
      <w:pPr>
        <w:pStyle w:val="63"/>
        <w:rPr>
          <w:rFonts w:hint="default"/>
          <w:lang w:val="en-US"/>
        </w:rPr>
      </w:pPr>
      <w:r>
        <w:rPr>
          <w:position w:val="-12"/>
        </w:rPr>
        <w:object>
          <v:shape id="_x0000_i102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tab/>
      </w:r>
      <w:r>
        <w:t xml:space="preserve">The power spectral density of a white noise source (average power per RE </w:t>
      </w:r>
      <w:r>
        <w:rPr>
          <w:rFonts w:eastAsia="?? ??"/>
        </w:rPr>
        <w:t>normalised to the subcarrier spacing</w:t>
      </w:r>
      <w:r>
        <w:t xml:space="preserve">), simulating interference from cells that are not defined in a test procedure, as measured at the IAB-MT </w:t>
      </w:r>
      <w:del w:id="21" w:author="Ricky (ZTE)" w:date="2022-02-28T10:59:14Z">
        <w:r>
          <w:rPr>
            <w:rFonts w:hint="default"/>
            <w:lang w:val="en-US"/>
          </w:rPr>
          <w:delText>antenna</w:delText>
        </w:r>
      </w:del>
      <w:ins w:id="22" w:author="Ricky (ZTE)" w:date="2022-02-28T10:59:14Z">
        <w:r>
          <w:rPr>
            <w:rFonts w:hint="eastAsia" w:eastAsia="宋体"/>
            <w:lang w:val="en-US" w:eastAsia="zh-CN"/>
          </w:rPr>
          <w:t>T</w:t>
        </w:r>
      </w:ins>
      <w:ins w:id="23" w:author="Ricky (ZTE)" w:date="2022-02-28T10:59:15Z">
        <w:r>
          <w:rPr>
            <w:rFonts w:hint="eastAsia" w:eastAsia="宋体"/>
            <w:lang w:val="en-US" w:eastAsia="zh-CN"/>
          </w:rPr>
          <w:t>AB</w:t>
        </w:r>
      </w:ins>
      <w:r>
        <w:t xml:space="preserve"> connector</w:t>
      </w:r>
      <w:ins w:id="24" w:author="Ricky (ZTE)" w:date="2022-02-11T16:18:26Z">
        <w:r>
          <w:rPr>
            <w:rFonts w:hint="eastAsia" w:eastAsia="宋体"/>
            <w:lang w:val="en-US" w:eastAsia="zh-CN"/>
          </w:rPr>
          <w:t xml:space="preserve"> or </w:t>
        </w:r>
      </w:ins>
      <w:ins w:id="25" w:author="Ricky (ZTE)" w:date="2022-02-28T11:00:29Z">
        <w:r>
          <w:rPr>
            <w:rFonts w:hint="eastAsia" w:eastAsia="宋体"/>
            <w:lang w:val="en-US" w:eastAsia="zh-CN"/>
          </w:rPr>
          <w:t>RIB</w:t>
        </w:r>
      </w:ins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r>
        <w:rPr>
          <w:rFonts w:eastAsia="MS Mincho"/>
          <w:vertAlign w:val="subscript"/>
          <w:lang w:eastAsia="ja-JP"/>
        </w:rPr>
        <w:tab/>
      </w:r>
      <w:r>
        <w:rPr>
          <w:rFonts w:eastAsia="MS Mincho"/>
          <w:lang w:eastAsia="ja-JP"/>
        </w:rPr>
        <w:t xml:space="preserve">The declared number corresponding to the minimum number of cells that can be transmitted by an </w:t>
      </w:r>
      <w:r>
        <w:rPr>
          <w:rFonts w:eastAsia="MS Mincho"/>
          <w:i/>
          <w:lang w:eastAsia="ja-JP"/>
        </w:rPr>
        <w:t>BS type 1-H</w:t>
      </w:r>
      <w:r>
        <w:rPr>
          <w:rFonts w:eastAsia="MS Mincho"/>
          <w:lang w:eastAsia="ja-JP"/>
        </w:rPr>
        <w:t xml:space="preserve"> in a particular </w:t>
      </w:r>
      <w:r>
        <w:rPr>
          <w:rFonts w:eastAsia="MS Mincho"/>
          <w:i/>
          <w:lang w:eastAsia="ja-JP"/>
        </w:rPr>
        <w:t>operating band</w:t>
      </w:r>
    </w:p>
    <w:p>
      <w:pPr>
        <w:pStyle w:val="63"/>
      </w:pPr>
      <w:r>
        <w:t>N</w:t>
      </w:r>
      <w:r>
        <w:rPr>
          <w:vertAlign w:val="subscript"/>
        </w:rPr>
        <w:t>RXU,active</w:t>
      </w:r>
      <w:r>
        <w:tab/>
      </w:r>
      <w:r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>
      <w:pPr>
        <w:pStyle w:val="63"/>
      </w:pPr>
      <w:r>
        <w:t>N</w:t>
      </w:r>
      <w:r>
        <w:rPr>
          <w:vertAlign w:val="subscript"/>
        </w:rPr>
        <w:t>RXU,counted</w:t>
      </w:r>
      <w:r>
        <w:tab/>
      </w:r>
      <w:r>
        <w:t>The number of active receiver units that are taken into account for conducted Rx spurious emission scaling, as calculated in clause 7.6.1</w:t>
      </w:r>
    </w:p>
    <w:p>
      <w:pPr>
        <w:pStyle w:val="63"/>
      </w:pPr>
      <w:r>
        <w:t>N</w:t>
      </w:r>
      <w:r>
        <w:rPr>
          <w:vertAlign w:val="subscript"/>
        </w:rPr>
        <w:t>RXU,countedpercell</w:t>
      </w:r>
      <w:r>
        <w:tab/>
      </w:r>
      <w:r>
        <w:rPr>
          <w:lang w:eastAsia="ja-JP"/>
        </w:rPr>
        <w:t xml:space="preserve">The number of active receiver units that are taken into account for conducted </w:t>
      </w:r>
      <w:r>
        <w:t xml:space="preserve">RX spurious </w:t>
      </w:r>
      <w:r>
        <w:rPr>
          <w:lang w:eastAsia="ja-JP"/>
        </w:rPr>
        <w:t>emissions scaling per cell, as calculated in clause 7.6.1</w:t>
      </w:r>
    </w:p>
    <w:p>
      <w:pPr>
        <w:pStyle w:val="63"/>
      </w:pPr>
      <w:r>
        <w:rPr>
          <w:position w:val="-10"/>
        </w:rPr>
        <w:object>
          <v:shape id="_x0000_i102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ab/>
      </w:r>
      <w:r>
        <w:t xml:space="preserve">Timing offset between uplink and downlink radio frames at the </w:t>
      </w:r>
      <w:ins w:id="26" w:author="Ricky (ZTE)" w:date="2022-02-28T10:59:26Z">
        <w:r>
          <w:rPr>
            <w:rFonts w:hint="eastAsia" w:eastAsia="宋体"/>
            <w:lang w:val="en-US" w:eastAsia="zh-CN"/>
          </w:rPr>
          <w:t>UE</w:t>
        </w:r>
      </w:ins>
      <w:ins w:id="27" w:author="Ricky (ZTE)" w:date="2022-02-28T10:59:32Z">
        <w:r>
          <w:rPr>
            <w:rFonts w:hint="eastAsia" w:eastAsia="宋体"/>
            <w:lang w:val="en-US" w:eastAsia="zh-CN"/>
          </w:rPr>
          <w:t xml:space="preserve"> </w:t>
        </w:r>
      </w:ins>
      <w:ins w:id="28" w:author="Ricky (ZTE)" w:date="2022-02-28T10:59:27Z">
        <w:r>
          <w:rPr>
            <w:rFonts w:hint="eastAsia" w:eastAsia="宋体"/>
            <w:lang w:val="en-US" w:eastAsia="zh-CN"/>
          </w:rPr>
          <w:t>/</w:t>
        </w:r>
      </w:ins>
      <w:ins w:id="29" w:author="Ricky (ZTE)" w:date="2022-02-28T10:59:32Z">
        <w:r>
          <w:rPr>
            <w:rFonts w:hint="eastAsia" w:eastAsia="宋体"/>
            <w:lang w:val="en-US" w:eastAsia="zh-CN"/>
          </w:rPr>
          <w:t xml:space="preserve"> </w:t>
        </w:r>
      </w:ins>
      <w:del w:id="30" w:author="Ricky (ZTE)" w:date="2022-02-11T16:20:47Z">
        <w:r>
          <w:rPr>
            <w:rFonts w:hint="default"/>
            <w:lang w:val="en-US"/>
          </w:rPr>
          <w:delText>UE</w:delText>
        </w:r>
      </w:del>
      <w:ins w:id="31" w:author="Ricky (ZTE)" w:date="2022-02-11T16:20:47Z">
        <w:r>
          <w:rPr>
            <w:rFonts w:hint="eastAsia" w:eastAsia="宋体"/>
            <w:lang w:val="en-US" w:eastAsia="zh-CN"/>
          </w:rPr>
          <w:t>I</w:t>
        </w:r>
      </w:ins>
      <w:ins w:id="32" w:author="Ricky (ZTE)" w:date="2022-02-11T16:20:48Z">
        <w:r>
          <w:rPr>
            <w:rFonts w:hint="eastAsia" w:eastAsia="宋体"/>
            <w:lang w:val="en-US" w:eastAsia="zh-CN"/>
          </w:rPr>
          <w:t>AB-M</w:t>
        </w:r>
      </w:ins>
      <w:ins w:id="33" w:author="Ricky (ZTE)" w:date="2022-02-11T16:20:49Z">
        <w:r>
          <w:rPr>
            <w:rFonts w:hint="eastAsia" w:eastAsia="宋体"/>
            <w:lang w:val="en-US" w:eastAsia="zh-CN"/>
          </w:rPr>
          <w:t>T</w:t>
        </w:r>
      </w:ins>
      <w:r>
        <w:t>, as defined in clause 4.2.3 in TS 38.213</w:t>
      </w:r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TXU,counted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as calculated in clause 6.1, that are taken into account for conducted TX output power limit in clause 6.2.1, and for unwanted TX emissions scaling</w:t>
      </w:r>
    </w:p>
    <w:p>
      <w:pPr>
        <w:pStyle w:val="63"/>
        <w:rPr>
          <w:lang w:eastAsia="ja-JP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that are taken into account for conducted TX emissions scaling per cell,</w:t>
      </w:r>
      <w:r>
        <w:rPr>
          <w:lang w:eastAsia="ja-JP"/>
        </w:rPr>
        <w:t xml:space="preserve"> as calculated in clause 6.1</w:t>
      </w:r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>
        <w:rPr>
          <w:vertAlign w:val="subscript"/>
        </w:rPr>
        <w:t>CMAX</w:t>
      </w:r>
      <w:r>
        <w:t>,</w:t>
      </w:r>
      <w:r>
        <w:rPr>
          <w:i/>
          <w:iCs/>
          <w:vertAlign w:val="subscript"/>
        </w:rPr>
        <w:t xml:space="preserve"> f</w:t>
      </w:r>
      <w:r>
        <w:t>,</w:t>
      </w:r>
      <w:r>
        <w:rPr>
          <w:i/>
          <w:iCs/>
          <w:vertAlign w:val="subscript"/>
        </w:rPr>
        <w:t xml:space="preserve"> c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configured maximum output power for carrier f of serving cell c in each slot</w:t>
      </w:r>
    </w:p>
    <w:p>
      <w:pPr>
        <w:pStyle w:val="63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>
      <w:pPr>
        <w:pStyle w:val="63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>
      <w:pPr>
        <w:pStyle w:val="63"/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>
      <w:pPr>
        <w:pStyle w:val="63"/>
        <w:rPr>
          <w:rFonts w:eastAsia="MS Mincho"/>
          <w:i/>
          <w:iCs/>
          <w:lang w:eastAsia="ja-JP"/>
        </w:rPr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  <w:lang w:eastAsia="ja-JP"/>
        </w:rPr>
        <w:t>TAB connector TX min cell group</w:t>
      </w:r>
    </w:p>
    <w:p>
      <w:pPr>
        <w:pStyle w:val="63"/>
      </w:pPr>
      <w:r>
        <w:t>P</w:t>
      </w:r>
      <w:r>
        <w:rPr>
          <w:vertAlign w:val="subscript"/>
        </w:rPr>
        <w:t>rated,c,EIRP</w:t>
      </w:r>
      <w:r>
        <w:rPr>
          <w:vertAlign w:val="subscript"/>
        </w:rPr>
        <w:tab/>
      </w:r>
      <w:r>
        <w:rPr>
          <w:i/>
        </w:rPr>
        <w:t xml:space="preserve">The rated carrier </w:t>
      </w:r>
      <w:r>
        <w:rPr>
          <w:rFonts w:hint="eastAsia"/>
          <w:i/>
          <w:lang w:val="en-US" w:eastAsia="zh-CN"/>
        </w:rPr>
        <w:t>EIRP</w:t>
      </w:r>
      <w:r>
        <w:rPr>
          <w:i/>
        </w:rPr>
        <w:t xml:space="preserve">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63"/>
        <w:spacing w:line="276" w:lineRule="auto"/>
        <w:rPr>
          <w:lang w:eastAsia="ja-JP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63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</w:r>
      <w:r>
        <w:rPr>
          <w:lang w:eastAsia="zh-CN"/>
        </w:rPr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>
      <w:pPr>
        <w:pStyle w:val="63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>
      <w:pPr>
        <w:pStyle w:val="63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>
      <w:pPr>
        <w:pStyle w:val="63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>
      <w:pPr>
        <w:keepLines/>
        <w:spacing w:after="0"/>
        <w:ind w:left="1702" w:hanging="1418"/>
        <w:rPr>
          <w:rFonts w:hint="default"/>
          <w:lang w:val="en-US"/>
        </w:rPr>
      </w:pPr>
      <w:r>
        <w:t>SSB_RP</w:t>
      </w:r>
      <w:r>
        <w:tab/>
      </w:r>
      <w:r>
        <w:t xml:space="preserve">Received (linear) average power of the resource elements that carry SSB signals and channels, measured at the IAB-MT </w:t>
      </w:r>
      <w:del w:id="34" w:author="Ricky (ZTE)" w:date="2022-02-28T11:00:40Z">
        <w:r>
          <w:rPr>
            <w:rFonts w:hint="default"/>
            <w:lang w:val="en-US"/>
          </w:rPr>
          <w:delText>antenna</w:delText>
        </w:r>
      </w:del>
      <w:ins w:id="35" w:author="Ricky (ZTE)" w:date="2022-02-28T11:00:40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</w:t>
      </w:r>
      <w:ins w:id="36" w:author="Ricky (ZTE)" w:date="2022-02-11T16:18:31Z">
        <w:r>
          <w:rPr>
            <w:rFonts w:hint="eastAsia" w:eastAsia="宋体"/>
            <w:lang w:val="en-US" w:eastAsia="zh-CN"/>
          </w:rPr>
          <w:t xml:space="preserve"> or </w:t>
        </w:r>
      </w:ins>
      <w:ins w:id="37" w:author="Ricky (ZTE)" w:date="2022-02-28T11:00:36Z">
        <w:r>
          <w:rPr>
            <w:rFonts w:hint="eastAsia" w:eastAsia="宋体"/>
            <w:lang w:val="en-US" w:eastAsia="zh-CN"/>
          </w:rPr>
          <w:t>RIB</w:t>
        </w:r>
      </w:ins>
    </w:p>
    <w:p>
      <w:pPr>
        <w:keepLines/>
        <w:spacing w:after="0"/>
        <w:ind w:left="1702" w:hanging="1418"/>
      </w:pPr>
      <w:r>
        <w:t>T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Basic time unit, defined in clause 4.1 of TS 38.211 [8]</w:t>
      </w:r>
    </w:p>
    <w:p>
      <w:pPr>
        <w:keepLines/>
        <w:spacing w:after="0"/>
        <w:ind w:left="1702" w:hanging="1418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/>
    <w:p>
      <w:pPr>
        <w:pStyle w:val="3"/>
        <w:rPr>
          <w:rFonts w:eastAsiaTheme="minorEastAsia"/>
          <w:lang w:eastAsia="zh-CN"/>
        </w:rPr>
      </w:pPr>
      <w:bookmarkStart w:id="22" w:name="_Toc57820125"/>
      <w:bookmarkStart w:id="23" w:name="_Toc61183328"/>
      <w:bookmarkStart w:id="24" w:name="_Toc53185652"/>
      <w:bookmarkStart w:id="25" w:name="_Toc76541893"/>
      <w:bookmarkStart w:id="26" w:name="_Toc18916149"/>
      <w:bookmarkStart w:id="27" w:name="_Toc57821052"/>
      <w:bookmarkStart w:id="28" w:name="_Toc13080119"/>
      <w:bookmarkStart w:id="29" w:name="_Toc53185276"/>
      <w:bookmarkStart w:id="30" w:name="_Toc89948912"/>
      <w:bookmarkStart w:id="31" w:name="_Toc82449875"/>
      <w:bookmarkStart w:id="32" w:name="_Toc82450523"/>
      <w:bookmarkStart w:id="33" w:name="_Toc74583080"/>
      <w:bookmarkStart w:id="34" w:name="_Toc61184896"/>
      <w:bookmarkStart w:id="35" w:name="_Toc66386239"/>
      <w:bookmarkStart w:id="36" w:name="_Toc61183722"/>
      <w:bookmarkStart w:id="37" w:name="_Toc61184506"/>
      <w:bookmarkStart w:id="38" w:name="_Toc61184114"/>
      <w:r>
        <w:t>3.3</w:t>
      </w:r>
      <w:r>
        <w:tab/>
      </w:r>
      <w:r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3"/>
      </w:pPr>
      <w:r>
        <w:rPr>
          <w:lang w:eastAsia="zh-CN"/>
        </w:rPr>
        <w:t>AA</w:t>
      </w:r>
      <w:r>
        <w:rPr>
          <w:lang w:eastAsia="zh-CN"/>
        </w:rPr>
        <w:tab/>
      </w:r>
      <w:r>
        <w:rPr>
          <w:lang w:eastAsia="zh-CN"/>
        </w:rPr>
        <w:t>Antenna Array</w:t>
      </w:r>
    </w:p>
    <w:p>
      <w:pPr>
        <w:pStyle w:val="63"/>
      </w:pPr>
      <w:r>
        <w:t>ACLR</w:t>
      </w:r>
      <w:r>
        <w:tab/>
      </w:r>
      <w:r>
        <w:t>Adjacent Channel Leakage Ratio</w:t>
      </w:r>
    </w:p>
    <w:p>
      <w:pPr>
        <w:pStyle w:val="63"/>
      </w:pPr>
      <w:r>
        <w:t>ACS</w:t>
      </w:r>
      <w:r>
        <w:tab/>
      </w:r>
      <w:r>
        <w:t>Adjacent Channel Selectivity</w:t>
      </w:r>
    </w:p>
    <w:p>
      <w:pPr>
        <w:pStyle w:val="63"/>
      </w:pPr>
      <w:r>
        <w:t>AoA</w:t>
      </w:r>
      <w:r>
        <w:tab/>
      </w:r>
      <w:r>
        <w:t>Angle of Arrival</w:t>
      </w:r>
    </w:p>
    <w:p>
      <w:pPr>
        <w:pStyle w:val="63"/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63"/>
      </w:pPr>
      <w:r>
        <w:t>BFD</w:t>
      </w:r>
      <w:r>
        <w:tab/>
      </w:r>
      <w:r>
        <w:t>Beam Failure Detection</w:t>
      </w:r>
    </w:p>
    <w:p>
      <w:pPr>
        <w:pStyle w:val="63"/>
      </w:pPr>
      <w:r>
        <w:t>BFD-RS</w:t>
      </w:r>
      <w:r>
        <w:tab/>
      </w:r>
      <w:r>
        <w:t>BFD Reference Signal</w:t>
      </w:r>
    </w:p>
    <w:p>
      <w:pPr>
        <w:pStyle w:val="63"/>
      </w:pPr>
      <w:r>
        <w:t>BLER</w:t>
      </w:r>
      <w:r>
        <w:tab/>
      </w:r>
      <w:r>
        <w:t>Block Error Rate</w:t>
      </w:r>
    </w:p>
    <w:p>
      <w:pPr>
        <w:pStyle w:val="63"/>
      </w:pPr>
      <w:r>
        <w:t>BM-RS</w:t>
      </w:r>
      <w:r>
        <w:tab/>
      </w:r>
      <w:r>
        <w:t>Beam Management Reference Signal</w:t>
      </w:r>
    </w:p>
    <w:p>
      <w:pPr>
        <w:pStyle w:val="63"/>
      </w:pPr>
      <w:r>
        <w:t>BS</w:t>
      </w:r>
      <w:r>
        <w:tab/>
      </w:r>
      <w:r>
        <w:t>Base Station</w:t>
      </w:r>
    </w:p>
    <w:p>
      <w:pPr>
        <w:pStyle w:val="63"/>
      </w:pPr>
      <w:r>
        <w:t>BW</w:t>
      </w:r>
      <w:r>
        <w:tab/>
      </w:r>
      <w:r>
        <w:t>Bandwidth</w:t>
      </w:r>
    </w:p>
    <w:p>
      <w:pPr>
        <w:pStyle w:val="63"/>
      </w:pPr>
      <w:r>
        <w:t>BWP</w:t>
      </w:r>
      <w:r>
        <w:tab/>
      </w:r>
      <w:r>
        <w:t>Bandwidth Part</w:t>
      </w:r>
    </w:p>
    <w:p>
      <w:pPr>
        <w:pStyle w:val="63"/>
      </w:pPr>
      <w:r>
        <w:t>CA</w:t>
      </w:r>
      <w:r>
        <w:tab/>
      </w:r>
      <w:r>
        <w:t>Carrier Aggregation</w:t>
      </w:r>
    </w:p>
    <w:p>
      <w:pPr>
        <w:pStyle w:val="63"/>
      </w:pPr>
      <w:r>
        <w:t>CACLR</w:t>
      </w:r>
      <w:r>
        <w:tab/>
      </w:r>
      <w:r>
        <w:t>Cumulative ACLR</w:t>
      </w:r>
    </w:p>
    <w:p>
      <w:pPr>
        <w:pStyle w:val="63"/>
        <w:ind w:left="1701" w:hanging="1417"/>
      </w:pPr>
      <w:r>
        <w:t>CBD</w:t>
      </w:r>
      <w:r>
        <w:tab/>
      </w:r>
      <w:r>
        <w:t>Candidate Beam Detection</w:t>
      </w:r>
    </w:p>
    <w:p>
      <w:pPr>
        <w:pStyle w:val="63"/>
      </w:pPr>
      <w:r>
        <w:t>CCE</w:t>
      </w:r>
      <w:r>
        <w:tab/>
      </w:r>
      <w:r>
        <w:t>Control Channel Element</w:t>
      </w:r>
    </w:p>
    <w:p>
      <w:pPr>
        <w:pStyle w:val="63"/>
      </w:pPr>
      <w:r>
        <w:t>CORESET</w:t>
      </w:r>
      <w:r>
        <w:tab/>
      </w:r>
      <w:r>
        <w:t>Control Resource Set</w:t>
      </w:r>
    </w:p>
    <w:p>
      <w:pPr>
        <w:pStyle w:val="63"/>
        <w:ind w:left="1701" w:hanging="1417"/>
      </w:pPr>
      <w:r>
        <w:t>CP</w:t>
      </w:r>
      <w:r>
        <w:tab/>
      </w:r>
      <w:r>
        <w:t>Cyclic Prefix</w:t>
      </w:r>
    </w:p>
    <w:p>
      <w:pPr>
        <w:pStyle w:val="63"/>
      </w:pPr>
      <w:r>
        <w:t>CP-OFDM</w:t>
      </w:r>
      <w:r>
        <w:tab/>
      </w:r>
      <w:r>
        <w:t>Cyclic Prefix-OFDM</w:t>
      </w:r>
    </w:p>
    <w:p>
      <w:pPr>
        <w:pStyle w:val="63"/>
        <w:keepNext/>
      </w:pPr>
      <w:r>
        <w:t>CSI</w:t>
      </w:r>
      <w:r>
        <w:tab/>
      </w:r>
      <w:r>
        <w:t>Channel-State Information</w:t>
      </w:r>
    </w:p>
    <w:p>
      <w:pPr>
        <w:pStyle w:val="63"/>
        <w:keepNext/>
      </w:pPr>
      <w:r>
        <w:t>CSI-RS</w:t>
      </w:r>
      <w:r>
        <w:tab/>
      </w:r>
      <w:r>
        <w:t>CSI Reference Signal</w:t>
      </w:r>
    </w:p>
    <w:p>
      <w:pPr>
        <w:pStyle w:val="63"/>
      </w:pPr>
      <w:r>
        <w:t>CW</w:t>
      </w:r>
      <w:r>
        <w:tab/>
      </w:r>
      <w:r>
        <w:t>Continuous Wave</w:t>
      </w:r>
    </w:p>
    <w:p>
      <w:pPr>
        <w:pStyle w:val="63"/>
      </w:pPr>
      <w:r>
        <w:t>DCI</w:t>
      </w:r>
      <w:r>
        <w:tab/>
      </w:r>
      <w:r>
        <w:t>Downlink Control Information</w:t>
      </w:r>
    </w:p>
    <w:p>
      <w:pPr>
        <w:pStyle w:val="63"/>
      </w:pPr>
      <w:r>
        <w:t>DL</w:t>
      </w:r>
      <w:r>
        <w:tab/>
      </w:r>
      <w:r>
        <w:t>Downlink</w:t>
      </w:r>
    </w:p>
    <w:p>
      <w:pPr>
        <w:pStyle w:val="63"/>
      </w:pPr>
      <w:r>
        <w:t>DMRS</w:t>
      </w:r>
      <w:r>
        <w:tab/>
      </w:r>
      <w:r>
        <w:t>Demodulation Reference Signal</w:t>
      </w:r>
    </w:p>
    <w:p>
      <w:pPr>
        <w:pStyle w:val="63"/>
      </w:pPr>
      <w:r>
        <w:t>DM-RS</w:t>
      </w:r>
      <w:r>
        <w:tab/>
      </w:r>
      <w:r>
        <w:t>Demodulation Reference Signal</w:t>
      </w:r>
    </w:p>
    <w:p>
      <w:pPr>
        <w:pStyle w:val="63"/>
      </w:pPr>
      <w:r>
        <w:t>DRX</w:t>
      </w:r>
      <w:r>
        <w:tab/>
      </w:r>
      <w:r>
        <w:t>Discontinuous Reception</w:t>
      </w:r>
    </w:p>
    <w:p>
      <w:pPr>
        <w:pStyle w:val="63"/>
      </w:pPr>
      <w:r>
        <w:t>EIS</w:t>
      </w:r>
      <w:r>
        <w:tab/>
      </w:r>
      <w:r>
        <w:t>Equivalent Isotropic Sensitivity</w:t>
      </w:r>
    </w:p>
    <w:p>
      <w:pPr>
        <w:pStyle w:val="63"/>
      </w:pPr>
      <w:r>
        <w:t>EIRP</w:t>
      </w:r>
      <w:r>
        <w:tab/>
      </w:r>
      <w:r>
        <w:t>Equivalent Isotropic Radiated Power</w:t>
      </w:r>
    </w:p>
    <w:p>
      <w:pPr>
        <w:pStyle w:val="63"/>
      </w:pPr>
      <w:r>
        <w:t>E-UTRA</w:t>
      </w:r>
      <w:r>
        <w:tab/>
      </w:r>
      <w:r>
        <w:t>Evolved UTRA</w:t>
      </w:r>
    </w:p>
    <w:p>
      <w:pPr>
        <w:pStyle w:val="63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63"/>
      </w:pPr>
      <w:r>
        <w:t>FBW</w:t>
      </w:r>
      <w:r>
        <w:tab/>
      </w:r>
      <w:r>
        <w:t>Fractional Bandwidth</w:t>
      </w:r>
    </w:p>
    <w:p>
      <w:pPr>
        <w:pStyle w:val="63"/>
      </w:pPr>
      <w:r>
        <w:t>FR</w:t>
      </w:r>
      <w:r>
        <w:tab/>
      </w:r>
      <w:r>
        <w:t>Frequency Range</w:t>
      </w:r>
    </w:p>
    <w:p>
      <w:pPr>
        <w:pStyle w:val="63"/>
      </w:pPr>
      <w:r>
        <w:rPr>
          <w:lang w:eastAsia="zh-CN"/>
        </w:rPr>
        <w:t>FRC</w:t>
      </w:r>
      <w:r>
        <w:rPr>
          <w:lang w:eastAsia="zh-CN"/>
        </w:rPr>
        <w:tab/>
      </w:r>
      <w:r>
        <w:rPr>
          <w:lang w:eastAsia="zh-CN"/>
        </w:rPr>
        <w:t>Fixed Reference Channel</w:t>
      </w:r>
    </w:p>
    <w:p>
      <w:pPr>
        <w:pStyle w:val="63"/>
      </w:pPr>
      <w:r>
        <w:t>GSM</w:t>
      </w:r>
      <w:r>
        <w:tab/>
      </w:r>
      <w:r>
        <w:t>Global System for Mobile communications</w:t>
      </w:r>
    </w:p>
    <w:p>
      <w:pPr>
        <w:pStyle w:val="63"/>
      </w:pPr>
      <w:r>
        <w:t>IAB</w:t>
      </w:r>
      <w:r>
        <w:tab/>
      </w:r>
      <w:r>
        <w:t>Integrated Access and Backhaul</w:t>
      </w:r>
    </w:p>
    <w:p>
      <w:pPr>
        <w:pStyle w:val="63"/>
      </w:pPr>
      <w:r>
        <w:t>IAB-DU</w:t>
      </w:r>
      <w:r>
        <w:tab/>
      </w:r>
      <w:r>
        <w:t>IAB Distribution Unit</w:t>
      </w:r>
    </w:p>
    <w:p>
      <w:pPr>
        <w:pStyle w:val="63"/>
      </w:pPr>
      <w:r>
        <w:t>IAB-MT</w:t>
      </w:r>
      <w:r>
        <w:tab/>
      </w:r>
      <w:r>
        <w:t xml:space="preserve">IAB Mobile Termination </w:t>
      </w:r>
    </w:p>
    <w:p>
      <w:pPr>
        <w:pStyle w:val="63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63"/>
      </w:pPr>
      <w:r>
        <w:t>ICS</w:t>
      </w:r>
      <w:r>
        <w:tab/>
      </w:r>
      <w:r>
        <w:t>In-Channel Selectivity</w:t>
      </w:r>
    </w:p>
    <w:p>
      <w:pPr>
        <w:pStyle w:val="63"/>
      </w:pPr>
      <w:r>
        <w:t>L1-RSRP</w:t>
      </w:r>
      <w:r>
        <w:tab/>
      </w:r>
      <w:r>
        <w:t>Layer 1 RSRP</w:t>
      </w:r>
    </w:p>
    <w:p>
      <w:pPr>
        <w:pStyle w:val="63"/>
      </w:pPr>
      <w:r>
        <w:t>LA</w:t>
      </w:r>
      <w:r>
        <w:tab/>
      </w:r>
      <w:r>
        <w:t>Local Area</w:t>
      </w:r>
    </w:p>
    <w:p>
      <w:pPr>
        <w:pStyle w:val="63"/>
      </w:pPr>
      <w:r>
        <w:t>MCS</w:t>
      </w:r>
      <w:r>
        <w:tab/>
      </w:r>
      <w:r>
        <w:t>Modulation and Coding Scheme</w:t>
      </w:r>
    </w:p>
    <w:p>
      <w:pPr>
        <w:pStyle w:val="63"/>
      </w:pPr>
      <w:r>
        <w:t>MGRP</w:t>
      </w:r>
      <w:r>
        <w:tab/>
      </w:r>
      <w:r>
        <w:t>Measurement Gap Repetition Period</w:t>
      </w:r>
    </w:p>
    <w:p>
      <w:pPr>
        <w:pStyle w:val="63"/>
      </w:pPr>
      <w:r>
        <w:t>MR</w:t>
      </w:r>
      <w:r>
        <w:tab/>
      </w:r>
      <w:r>
        <w:t>Medium Range</w:t>
      </w:r>
    </w:p>
    <w:p>
      <w:pPr>
        <w:pStyle w:val="63"/>
      </w:pPr>
      <w:r>
        <w:rPr>
          <w:lang w:val="en-US" w:eastAsia="zh-CN"/>
        </w:rPr>
        <w:t>NB-IoT</w:t>
      </w:r>
      <w:r>
        <w:rPr>
          <w:lang w:val="en-US" w:eastAsia="zh-CN"/>
        </w:rPr>
        <w:tab/>
      </w:r>
      <w:r>
        <w:rPr>
          <w:lang w:val="en-US" w:eastAsia="zh-CN"/>
        </w:rPr>
        <w:t>Narrowband – Internet of Things</w:t>
      </w:r>
    </w:p>
    <w:p>
      <w:pPr>
        <w:pStyle w:val="63"/>
      </w:pPr>
      <w:r>
        <w:t>NR</w:t>
      </w:r>
      <w:r>
        <w:tab/>
      </w:r>
      <w:r>
        <w:t>New Radio</w:t>
      </w:r>
    </w:p>
    <w:p>
      <w:pPr>
        <w:pStyle w:val="63"/>
      </w:pPr>
      <w:r>
        <w:t>NR-ARFCN</w:t>
      </w:r>
      <w:r>
        <w:tab/>
      </w:r>
      <w:r>
        <w:t>NR Absolute Radio Frequency Channel Number</w:t>
      </w:r>
    </w:p>
    <w:p>
      <w:pPr>
        <w:pStyle w:val="63"/>
      </w:pPr>
      <w:r>
        <w:t>OBUE</w:t>
      </w:r>
      <w:r>
        <w:tab/>
      </w:r>
      <w:r>
        <w:t>Operating Band Unwanted Emissions</w:t>
      </w:r>
    </w:p>
    <w:p>
      <w:pPr>
        <w:pStyle w:val="63"/>
        <w:rPr>
          <w:lang w:val="en-US" w:eastAsia="zh-CN"/>
        </w:rPr>
      </w:pPr>
      <w:r>
        <w:t>OOB</w:t>
      </w:r>
      <w:r>
        <w:tab/>
      </w:r>
      <w:r>
        <w:t>Out-of-band</w:t>
      </w:r>
    </w:p>
    <w:p>
      <w:pPr>
        <w:pStyle w:val="63"/>
      </w:pPr>
      <w:r>
        <w:t>OSDD</w:t>
      </w:r>
      <w:r>
        <w:tab/>
      </w:r>
      <w:r>
        <w:t>OTA Sensitivity Directions Declaration</w:t>
      </w:r>
    </w:p>
    <w:p>
      <w:pPr>
        <w:pStyle w:val="63"/>
      </w:pPr>
      <w:r>
        <w:t>OTA</w:t>
      </w:r>
      <w:r>
        <w:tab/>
      </w:r>
      <w:r>
        <w:t>Over-The-Air</w:t>
      </w:r>
    </w:p>
    <w:p>
      <w:pPr>
        <w:pStyle w:val="63"/>
      </w:pPr>
      <w:bookmarkStart w:id="39" w:name="_Hlk54343829"/>
      <w:r>
        <w:t>PCell</w:t>
      </w:r>
      <w:r>
        <w:tab/>
      </w:r>
      <w:r>
        <w:t>Primary Cell</w:t>
      </w:r>
      <w:bookmarkEnd w:id="39"/>
    </w:p>
    <w:p>
      <w:pPr>
        <w:pStyle w:val="63"/>
      </w:pPr>
      <w:r>
        <w:t>PDCCH</w:t>
      </w:r>
      <w:r>
        <w:tab/>
      </w:r>
      <w:r>
        <w:t>Physical Downlink Control Channel</w:t>
      </w:r>
    </w:p>
    <w:p>
      <w:pPr>
        <w:pStyle w:val="63"/>
      </w:pPr>
      <w:r>
        <w:t>PDSCH</w:t>
      </w:r>
      <w:r>
        <w:tab/>
      </w:r>
      <w:r>
        <w:t>Physical Downlink Shared Channel</w:t>
      </w:r>
    </w:p>
    <w:p>
      <w:pPr>
        <w:pStyle w:val="63"/>
      </w:pPr>
      <w:r>
        <w:t>PCell</w:t>
      </w:r>
      <w:r>
        <w:tab/>
      </w:r>
      <w:r>
        <w:t>Primary Cell</w:t>
      </w:r>
    </w:p>
    <w:p>
      <w:pPr>
        <w:pStyle w:val="63"/>
      </w:pPr>
      <w:r>
        <w:t>PRACH</w:t>
      </w:r>
      <w:r>
        <w:tab/>
      </w:r>
      <w:r>
        <w:t>Physical RACH</w:t>
      </w:r>
    </w:p>
    <w:p>
      <w:pPr>
        <w:pStyle w:val="63"/>
      </w:pPr>
      <w:r>
        <w:t>PDCCH</w:t>
      </w:r>
      <w:r>
        <w:tab/>
      </w:r>
      <w:r>
        <w:t>Physical Downlink Control Channel</w:t>
      </w:r>
    </w:p>
    <w:p>
      <w:pPr>
        <w:pStyle w:val="63"/>
      </w:pPr>
      <w:r>
        <w:t>PDSCH</w:t>
      </w:r>
      <w:r>
        <w:tab/>
      </w:r>
      <w:r>
        <w:t>Physical Downlink Shared Channel</w:t>
      </w:r>
    </w:p>
    <w:p>
      <w:pPr>
        <w:pStyle w:val="63"/>
      </w:pPr>
      <w:r>
        <w:t>PRACH</w:t>
      </w:r>
      <w:r>
        <w:tab/>
      </w:r>
      <w:r>
        <w:t>Physical RACH</w:t>
      </w:r>
    </w:p>
    <w:p>
      <w:pPr>
        <w:pStyle w:val="63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>
      <w:pPr>
        <w:pStyle w:val="63"/>
      </w:pPr>
      <w:r>
        <w:t>PSCell</w:t>
      </w:r>
      <w:r>
        <w:tab/>
      </w:r>
      <w:r>
        <w:t>Primary SCell</w:t>
      </w:r>
    </w:p>
    <w:p>
      <w:pPr>
        <w:pStyle w:val="63"/>
      </w:pPr>
      <w:r>
        <w:t>PSS</w:t>
      </w:r>
      <w:r>
        <w:tab/>
      </w:r>
      <w:r>
        <w:t>Primary Synchronization Signal</w:t>
      </w:r>
    </w:p>
    <w:p>
      <w:pPr>
        <w:pStyle w:val="63"/>
      </w:pPr>
      <w:r>
        <w:t>pTAG</w:t>
      </w:r>
      <w:r>
        <w:tab/>
      </w:r>
      <w:r>
        <w:t>Primary Timing Advance Group</w:t>
      </w:r>
    </w:p>
    <w:p>
      <w:pPr>
        <w:pStyle w:val="63"/>
      </w:pPr>
      <w:r>
        <w:t>PUCCH</w:t>
      </w:r>
      <w:r>
        <w:tab/>
      </w:r>
      <w:r>
        <w:t>Physical Uplink Control Channel</w:t>
      </w:r>
    </w:p>
    <w:p>
      <w:pPr>
        <w:pStyle w:val="63"/>
      </w:pPr>
      <w:r>
        <w:t>PUSCH</w:t>
      </w:r>
      <w:r>
        <w:tab/>
      </w:r>
      <w:r>
        <w:t>Physical Uplink Shared Channel</w:t>
      </w:r>
    </w:p>
    <w:p>
      <w:pPr>
        <w:pStyle w:val="63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>
      <w:pPr>
        <w:pStyle w:val="63"/>
      </w:pPr>
      <w:bookmarkStart w:id="40" w:name="OLE_LINK17"/>
      <w:r>
        <w:t>QCL</w:t>
      </w:r>
      <w:r>
        <w:tab/>
      </w:r>
      <w:r>
        <w:t>Quasi Co-Location</w:t>
      </w:r>
    </w:p>
    <w:p>
      <w:pPr>
        <w:pStyle w:val="63"/>
        <w:rPr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bookmarkEnd w:id="40"/>
      <w:r>
        <w:rPr>
          <w:rFonts w:hint="eastAsia"/>
          <w:lang w:val="fr-FR" w:eastAsia="zh-CN"/>
        </w:rPr>
        <w:t>k</w:t>
      </w:r>
    </w:p>
    <w:p>
      <w:pPr>
        <w:pStyle w:val="63"/>
      </w:pPr>
      <w:r>
        <w:t>RDN</w:t>
      </w:r>
      <w:r>
        <w:tab/>
      </w:r>
      <w:r>
        <w:t>Radio Distribution Network</w:t>
      </w:r>
    </w:p>
    <w:p>
      <w:pPr>
        <w:pStyle w:val="63"/>
      </w:pPr>
      <w:r>
        <w:t>RE</w:t>
      </w:r>
      <w:r>
        <w:tab/>
      </w:r>
      <w:r>
        <w:t>Resource Element</w:t>
      </w:r>
    </w:p>
    <w:p>
      <w:pPr>
        <w:pStyle w:val="63"/>
      </w:pPr>
      <w:r>
        <w:t>REFSENS</w:t>
      </w:r>
      <w:r>
        <w:tab/>
      </w:r>
      <w:r>
        <w:t>Reference Sensitivity</w:t>
      </w:r>
    </w:p>
    <w:p>
      <w:pPr>
        <w:pStyle w:val="63"/>
      </w:pPr>
      <w:r>
        <w:t>REG</w:t>
      </w:r>
      <w:r>
        <w:tab/>
      </w:r>
      <w:r>
        <w:t>Resource Element Group</w:t>
      </w:r>
    </w:p>
    <w:p>
      <w:pPr>
        <w:pStyle w:val="63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63"/>
      </w:pPr>
      <w:r>
        <w:t>RIB</w:t>
      </w:r>
      <w:r>
        <w:tab/>
      </w:r>
      <w:r>
        <w:t>Radiated Interface Boundary</w:t>
      </w:r>
    </w:p>
    <w:p>
      <w:pPr>
        <w:pStyle w:val="63"/>
      </w:pPr>
      <w:r>
        <w:t>RLM</w:t>
      </w:r>
      <w:r>
        <w:tab/>
      </w:r>
      <w:r>
        <w:t>Radio Link Monitoring</w:t>
      </w:r>
    </w:p>
    <w:p>
      <w:pPr>
        <w:pStyle w:val="63"/>
      </w:pPr>
      <w:r>
        <w:t>RLM-RS</w:t>
      </w:r>
      <w:r>
        <w:tab/>
      </w:r>
      <w:r>
        <w:t>Reference Signal for RLM</w:t>
      </w:r>
    </w:p>
    <w:p>
      <w:pPr>
        <w:pStyle w:val="63"/>
      </w:pPr>
    </w:p>
    <w:p>
      <w:pPr>
        <w:pStyle w:val="63"/>
      </w:pPr>
      <w:r>
        <w:t>RMS</w:t>
      </w:r>
      <w:r>
        <w:tab/>
      </w:r>
      <w:r>
        <w:t>Root Mean Square (value)</w:t>
      </w:r>
    </w:p>
    <w:p>
      <w:pPr>
        <w:pStyle w:val="63"/>
      </w:pPr>
      <w:r>
        <w:t>RoAoA</w:t>
      </w:r>
      <w:r>
        <w:tab/>
      </w:r>
      <w:r>
        <w:t xml:space="preserve">Range of Angles of Arrival </w:t>
      </w:r>
    </w:p>
    <w:p>
      <w:pPr>
        <w:pStyle w:val="63"/>
      </w:pPr>
      <w:r>
        <w:t>RRC</w:t>
      </w:r>
      <w:r>
        <w:tab/>
      </w:r>
      <w:r>
        <w:t>Radio Resource Control</w:t>
      </w:r>
    </w:p>
    <w:p>
      <w:pPr>
        <w:pStyle w:val="63"/>
      </w:pPr>
      <w:r>
        <w:t>RRM</w:t>
      </w:r>
      <w:r>
        <w:tab/>
      </w:r>
      <w:r>
        <w:t>Radio Resource Management</w:t>
      </w:r>
    </w:p>
    <w:p>
      <w:pPr>
        <w:pStyle w:val="63"/>
      </w:pPr>
      <w:r>
        <w:t>RX</w:t>
      </w:r>
      <w:r>
        <w:tab/>
      </w:r>
      <w:r>
        <w:t>Receiver</w:t>
      </w:r>
    </w:p>
    <w:p>
      <w:pPr>
        <w:pStyle w:val="63"/>
      </w:pPr>
      <w:r>
        <w:t>SCell</w:t>
      </w:r>
      <w:r>
        <w:tab/>
      </w:r>
      <w:r>
        <w:t>Secondary Cell</w:t>
      </w:r>
    </w:p>
    <w:p>
      <w:pPr>
        <w:pStyle w:val="63"/>
      </w:pPr>
      <w:r>
        <w:t>SCS</w:t>
      </w:r>
      <w:r>
        <w:tab/>
      </w:r>
      <w:r>
        <w:t>Sub-Carrier Spacing</w:t>
      </w:r>
      <w:r>
        <w:tab/>
      </w:r>
    </w:p>
    <w:p>
      <w:pPr>
        <w:pStyle w:val="63"/>
      </w:pPr>
      <w:r>
        <w:t>SMTC</w:t>
      </w:r>
      <w:r>
        <w:tab/>
      </w:r>
      <w:r>
        <w:t>SSB-based Measurement Timing configuration</w:t>
      </w:r>
    </w:p>
    <w:p>
      <w:pPr>
        <w:pStyle w:val="63"/>
      </w:pPr>
      <w:r>
        <w:t>SpCell</w:t>
      </w:r>
      <w:r>
        <w:tab/>
      </w:r>
      <w:r>
        <w:t>Special Cell</w:t>
      </w:r>
    </w:p>
    <w:p>
      <w:pPr>
        <w:pStyle w:val="63"/>
        <w:keepNext/>
      </w:pPr>
      <w:r>
        <w:t>SRS</w:t>
      </w:r>
      <w:r>
        <w:tab/>
      </w:r>
      <w:r>
        <w:t>Sounding Reference Signal</w:t>
      </w:r>
    </w:p>
    <w:p>
      <w:pPr>
        <w:pStyle w:val="63"/>
        <w:keepNext/>
      </w:pPr>
      <w:r>
        <w:t>SS-RSRP</w:t>
      </w:r>
      <w:r>
        <w:tab/>
      </w:r>
      <w:r>
        <w:t>Synchronization Signal based Reference Signal Received Power</w:t>
      </w:r>
    </w:p>
    <w:p>
      <w:pPr>
        <w:pStyle w:val="63"/>
      </w:pPr>
      <w:r>
        <w:t>SSB</w:t>
      </w:r>
      <w:r>
        <w:tab/>
      </w:r>
      <w:r>
        <w:t>Synchronization Signal Block</w:t>
      </w:r>
      <w:r>
        <w:tab/>
      </w:r>
    </w:p>
    <w:p>
      <w:pPr>
        <w:pStyle w:val="63"/>
      </w:pPr>
      <w:r>
        <w:t>SSB_RP</w:t>
      </w:r>
      <w:r>
        <w:tab/>
      </w:r>
      <w:r>
        <w:t xml:space="preserve">Received (linear) average power of the resource elements that carry NR SSB signals and channels, measured at the </w:t>
      </w:r>
      <w:del w:id="38" w:author="Ricky (ZTE)" w:date="2022-02-11T16:18:38Z">
        <w:r>
          <w:rPr>
            <w:rFonts w:hint="default"/>
            <w:lang w:val="en-US"/>
          </w:rPr>
          <w:delText>UE</w:delText>
        </w:r>
      </w:del>
      <w:ins w:id="39" w:author="Ricky (ZTE)" w:date="2022-02-11T16:18:38Z">
        <w:r>
          <w:rPr>
            <w:rFonts w:hint="eastAsia" w:eastAsia="宋体"/>
            <w:lang w:val="en-US" w:eastAsia="zh-CN"/>
          </w:rPr>
          <w:t>IA</w:t>
        </w:r>
      </w:ins>
      <w:ins w:id="40" w:author="Ricky (ZTE)" w:date="2022-02-11T16:18:39Z">
        <w:r>
          <w:rPr>
            <w:rFonts w:hint="eastAsia" w:eastAsia="宋体"/>
            <w:lang w:val="en-US" w:eastAsia="zh-CN"/>
          </w:rPr>
          <w:t>B-</w:t>
        </w:r>
      </w:ins>
      <w:ins w:id="41" w:author="Ricky (ZTE)" w:date="2022-02-11T16:18:40Z">
        <w:r>
          <w:rPr>
            <w:rFonts w:hint="eastAsia" w:eastAsia="宋体"/>
            <w:lang w:val="en-US" w:eastAsia="zh-CN"/>
          </w:rPr>
          <w:t>MT</w:t>
        </w:r>
      </w:ins>
      <w:r>
        <w:t xml:space="preserve"> </w:t>
      </w:r>
      <w:del w:id="42" w:author="Ricky (ZTE)" w:date="2022-02-28T11:00:51Z">
        <w:r>
          <w:rPr>
            <w:rFonts w:hint="default"/>
            <w:lang w:val="en-US"/>
          </w:rPr>
          <w:delText>antenna</w:delText>
        </w:r>
      </w:del>
      <w:ins w:id="43" w:author="Ricky (ZTE)" w:date="2022-02-28T11:00:51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</w:t>
      </w:r>
      <w:ins w:id="44" w:author="Ricky (ZTE)" w:date="2022-02-11T16:18:36Z">
        <w:r>
          <w:rPr>
            <w:rFonts w:hint="eastAsia" w:eastAsia="宋体"/>
            <w:lang w:val="en-US" w:eastAsia="zh-CN"/>
          </w:rPr>
          <w:t xml:space="preserve"> or </w:t>
        </w:r>
      </w:ins>
      <w:ins w:id="45" w:author="Ricky (ZTE)" w:date="2022-02-28T11:00:59Z">
        <w:r>
          <w:rPr>
            <w:rFonts w:hint="eastAsia" w:eastAsia="宋体"/>
            <w:lang w:val="en-US" w:eastAsia="zh-CN"/>
          </w:rPr>
          <w:t>RI</w:t>
        </w:r>
      </w:ins>
      <w:ins w:id="46" w:author="Ricky (ZTE)" w:date="2022-02-28T11:01:00Z">
        <w:r>
          <w:rPr>
            <w:rFonts w:hint="eastAsia" w:eastAsia="宋体"/>
            <w:lang w:val="en-US" w:eastAsia="zh-CN"/>
          </w:rPr>
          <w:t>B</w:t>
        </w:r>
      </w:ins>
      <w:r>
        <w:t>.</w:t>
      </w:r>
    </w:p>
    <w:p>
      <w:pPr>
        <w:pStyle w:val="63"/>
      </w:pPr>
      <w:r>
        <w:t>SSS</w:t>
      </w:r>
      <w:r>
        <w:tab/>
      </w:r>
      <w:r>
        <w:t xml:space="preserve">Secondary Synchronization Signal </w:t>
      </w:r>
    </w:p>
    <w:p>
      <w:pPr>
        <w:pStyle w:val="63"/>
      </w:pPr>
      <w:r>
        <w:t>TA</w:t>
      </w:r>
      <w:r>
        <w:tab/>
      </w:r>
      <w:r>
        <w:t>Timing Advance</w:t>
      </w:r>
    </w:p>
    <w:p>
      <w:pPr>
        <w:pStyle w:val="63"/>
      </w:pPr>
      <w:r>
        <w:t>TAB</w:t>
      </w:r>
      <w:r>
        <w:tab/>
      </w:r>
      <w:r>
        <w:t>Transceiver Array Boundary</w:t>
      </w:r>
      <w:r>
        <w:tab/>
      </w:r>
    </w:p>
    <w:p>
      <w:pPr>
        <w:pStyle w:val="63"/>
      </w:pPr>
      <w:r>
        <w:t>TCI</w:t>
      </w:r>
      <w:r>
        <w:tab/>
      </w:r>
      <w:r>
        <w:t>Transmission Configuration Indicator</w:t>
      </w:r>
    </w:p>
    <w:p>
      <w:pPr>
        <w:pStyle w:val="63"/>
      </w:pPr>
      <w:r>
        <w:t>TX</w:t>
      </w:r>
      <w:r>
        <w:tab/>
      </w:r>
      <w:r>
        <w:t>Transmitter</w:t>
      </w:r>
    </w:p>
    <w:p>
      <w:pPr>
        <w:pStyle w:val="63"/>
      </w:pPr>
      <w:r>
        <w:t>TRP</w:t>
      </w:r>
      <w:r>
        <w:tab/>
      </w:r>
      <w:r>
        <w:t>Total Radiated Power</w:t>
      </w:r>
      <w:r>
        <w:tab/>
      </w:r>
    </w:p>
    <w:p>
      <w:pPr>
        <w:pStyle w:val="63"/>
      </w:pPr>
      <w:r>
        <w:t>UTRA</w:t>
      </w:r>
      <w:r>
        <w:tab/>
      </w:r>
      <w:r>
        <w:t>Universal Terrestrial Radio Access</w:t>
      </w:r>
    </w:p>
    <w:p>
      <w:pPr>
        <w:pStyle w:val="63"/>
        <w:rPr>
          <w:i/>
          <w:color w:val="0000FF"/>
          <w:lang w:eastAsia="zh-CN"/>
        </w:rPr>
      </w:pPr>
      <w:r>
        <w:t>WA</w:t>
      </w:r>
      <w:r>
        <w:tab/>
      </w:r>
      <w:r>
        <w:t>Wide Area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41" w:name="_Toc61183664"/>
      <w:bookmarkStart w:id="42" w:name="_Toc53185599"/>
      <w:bookmarkStart w:id="43" w:name="_Toc89949367"/>
      <w:bookmarkStart w:id="44" w:name="_Toc82450978"/>
      <w:bookmarkStart w:id="45" w:name="_Toc57821388"/>
      <w:bookmarkStart w:id="46" w:name="_Toc66386577"/>
      <w:bookmarkStart w:id="47" w:name="_Toc82450330"/>
      <w:bookmarkStart w:id="48" w:name="_Toc61185232"/>
      <w:bookmarkStart w:id="49" w:name="_Toc61184450"/>
      <w:bookmarkStart w:id="50" w:name="_Toc61184842"/>
      <w:bookmarkStart w:id="51" w:name="_Toc74583535"/>
      <w:bookmarkStart w:id="52" w:name="_Toc53185975"/>
      <w:bookmarkStart w:id="53" w:name="_Toc76542348"/>
      <w:bookmarkStart w:id="54" w:name="_Toc61184058"/>
      <w:bookmarkStart w:id="55" w:name="_Toc57820461"/>
      <w:r>
        <w:t>12.2.4.2</w:t>
      </w:r>
      <w:r>
        <w:rPr>
          <w:sz w:val="28"/>
        </w:rPr>
        <w:tab/>
      </w:r>
      <w:r>
        <w:t>Requirements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rPr>
          <w:i/>
          <w:color w:val="0000FF"/>
          <w:lang w:eastAsia="zh-CN"/>
        </w:rPr>
      </w:pPr>
      <w:r>
        <w:t xml:space="preserve">The cell phase synchronization accuracy measured at IAB DU </w:t>
      </w:r>
      <w:del w:id="47" w:author="Ricky (ZTE)" w:date="2022-02-28T11:01:06Z">
        <w:r>
          <w:rPr>
            <w:rFonts w:hint="default"/>
            <w:lang w:val="en-US"/>
          </w:rPr>
          <w:delText>antenna</w:delText>
        </w:r>
      </w:del>
      <w:ins w:id="48" w:author="Ricky (ZTE)" w:date="2022-02-28T11:01:06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connectors</w:t>
      </w:r>
      <w:ins w:id="49" w:author="Ricky (ZTE)" w:date="2022-02-11T16:19:23Z">
        <w:r>
          <w:rPr>
            <w:rFonts w:hint="eastAsia" w:eastAsia="宋体"/>
            <w:lang w:val="en-US" w:eastAsia="zh-CN"/>
          </w:rPr>
          <w:t xml:space="preserve"> or </w:t>
        </w:r>
      </w:ins>
      <w:ins w:id="50" w:author="Ricky (ZTE)" w:date="2022-02-28T11:01:21Z">
        <w:r>
          <w:rPr>
            <w:rFonts w:hint="eastAsia" w:eastAsia="宋体"/>
            <w:lang w:val="en-US" w:eastAsia="zh-CN"/>
          </w:rPr>
          <w:t>RI</w:t>
        </w:r>
      </w:ins>
      <w:ins w:id="51" w:author="Ricky (ZTE)" w:date="2022-02-28T11:01:22Z">
        <w:r>
          <w:rPr>
            <w:rFonts w:hint="eastAsia" w:eastAsia="宋体"/>
            <w:lang w:val="en-US" w:eastAsia="zh-CN"/>
          </w:rPr>
          <w:t>Bs</w:t>
        </w:r>
      </w:ins>
      <w:bookmarkStart w:id="56" w:name="_GoBack"/>
      <w:bookmarkEnd w:id="56"/>
      <w:r>
        <w:t xml:space="preserve"> shall be better than 3 µs.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8637E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10B9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16C5518"/>
    <w:rsid w:val="02374914"/>
    <w:rsid w:val="02797BCC"/>
    <w:rsid w:val="02AD0989"/>
    <w:rsid w:val="02CE34F3"/>
    <w:rsid w:val="035436E5"/>
    <w:rsid w:val="03A17E5D"/>
    <w:rsid w:val="03D853AF"/>
    <w:rsid w:val="03E05335"/>
    <w:rsid w:val="06502056"/>
    <w:rsid w:val="066B03D9"/>
    <w:rsid w:val="0674422F"/>
    <w:rsid w:val="07382D93"/>
    <w:rsid w:val="074337BD"/>
    <w:rsid w:val="077A2753"/>
    <w:rsid w:val="079A1190"/>
    <w:rsid w:val="07C50F04"/>
    <w:rsid w:val="081D6792"/>
    <w:rsid w:val="08C42F19"/>
    <w:rsid w:val="08C65232"/>
    <w:rsid w:val="08EA733E"/>
    <w:rsid w:val="095E54E9"/>
    <w:rsid w:val="0A057A83"/>
    <w:rsid w:val="0A09114A"/>
    <w:rsid w:val="0A291971"/>
    <w:rsid w:val="0A6B7E10"/>
    <w:rsid w:val="0AE64AC5"/>
    <w:rsid w:val="0B6344E3"/>
    <w:rsid w:val="0BA8118E"/>
    <w:rsid w:val="0BD2637C"/>
    <w:rsid w:val="0C214859"/>
    <w:rsid w:val="0C5232A0"/>
    <w:rsid w:val="0C60784C"/>
    <w:rsid w:val="0CBB1874"/>
    <w:rsid w:val="0CD649F3"/>
    <w:rsid w:val="0CD802A2"/>
    <w:rsid w:val="0CE75D75"/>
    <w:rsid w:val="0D4574E4"/>
    <w:rsid w:val="0D79723F"/>
    <w:rsid w:val="0E127D22"/>
    <w:rsid w:val="0EB24483"/>
    <w:rsid w:val="0EC40E08"/>
    <w:rsid w:val="0ED37BE5"/>
    <w:rsid w:val="0EDE344F"/>
    <w:rsid w:val="0F0D01F4"/>
    <w:rsid w:val="0FFE7C3B"/>
    <w:rsid w:val="10291F7D"/>
    <w:rsid w:val="122B19E4"/>
    <w:rsid w:val="125D7D54"/>
    <w:rsid w:val="13390223"/>
    <w:rsid w:val="133B27C9"/>
    <w:rsid w:val="13610C63"/>
    <w:rsid w:val="1382050E"/>
    <w:rsid w:val="14CE3B03"/>
    <w:rsid w:val="14D53AFA"/>
    <w:rsid w:val="14D94488"/>
    <w:rsid w:val="14E516DF"/>
    <w:rsid w:val="14F113A9"/>
    <w:rsid w:val="14F326ED"/>
    <w:rsid w:val="15366EE5"/>
    <w:rsid w:val="15E45718"/>
    <w:rsid w:val="15F56201"/>
    <w:rsid w:val="16A85290"/>
    <w:rsid w:val="17177451"/>
    <w:rsid w:val="18823DD2"/>
    <w:rsid w:val="18F05F9F"/>
    <w:rsid w:val="1984492E"/>
    <w:rsid w:val="19B165BD"/>
    <w:rsid w:val="19CF3AEF"/>
    <w:rsid w:val="1A003D9E"/>
    <w:rsid w:val="1A18265A"/>
    <w:rsid w:val="1A2C5023"/>
    <w:rsid w:val="1AD86C2E"/>
    <w:rsid w:val="1BA23C14"/>
    <w:rsid w:val="1C3A3E10"/>
    <w:rsid w:val="1CB409D1"/>
    <w:rsid w:val="1D0F55A2"/>
    <w:rsid w:val="1D4A57DF"/>
    <w:rsid w:val="1D7E0E0F"/>
    <w:rsid w:val="1E397B71"/>
    <w:rsid w:val="1EFD12C3"/>
    <w:rsid w:val="1F2F09BB"/>
    <w:rsid w:val="200B21A4"/>
    <w:rsid w:val="21D14D8D"/>
    <w:rsid w:val="21FA4665"/>
    <w:rsid w:val="22182808"/>
    <w:rsid w:val="22513E3A"/>
    <w:rsid w:val="227434BA"/>
    <w:rsid w:val="22837FFD"/>
    <w:rsid w:val="22BD4D78"/>
    <w:rsid w:val="23247898"/>
    <w:rsid w:val="23672910"/>
    <w:rsid w:val="238F0684"/>
    <w:rsid w:val="23EF0FA4"/>
    <w:rsid w:val="245E7C70"/>
    <w:rsid w:val="249F6226"/>
    <w:rsid w:val="24A333D2"/>
    <w:rsid w:val="24CE1BB4"/>
    <w:rsid w:val="252E1BB3"/>
    <w:rsid w:val="25B34A9F"/>
    <w:rsid w:val="25DD011F"/>
    <w:rsid w:val="25ED1032"/>
    <w:rsid w:val="26463596"/>
    <w:rsid w:val="26B7330C"/>
    <w:rsid w:val="26E17DD3"/>
    <w:rsid w:val="26FE21D8"/>
    <w:rsid w:val="27586709"/>
    <w:rsid w:val="27811E05"/>
    <w:rsid w:val="27975465"/>
    <w:rsid w:val="28103F58"/>
    <w:rsid w:val="282D1F81"/>
    <w:rsid w:val="287E1F27"/>
    <w:rsid w:val="298D0175"/>
    <w:rsid w:val="29B40224"/>
    <w:rsid w:val="29D54A0D"/>
    <w:rsid w:val="2B6C14D7"/>
    <w:rsid w:val="2C303E19"/>
    <w:rsid w:val="2C735592"/>
    <w:rsid w:val="2CAC7C75"/>
    <w:rsid w:val="2CB735B1"/>
    <w:rsid w:val="2CDF2876"/>
    <w:rsid w:val="2CF73A08"/>
    <w:rsid w:val="2D2518A1"/>
    <w:rsid w:val="2DE03061"/>
    <w:rsid w:val="2DE97567"/>
    <w:rsid w:val="2E595D72"/>
    <w:rsid w:val="2E5D318A"/>
    <w:rsid w:val="2EAC3CE7"/>
    <w:rsid w:val="2EBE41ED"/>
    <w:rsid w:val="2EEB5C94"/>
    <w:rsid w:val="2F217D88"/>
    <w:rsid w:val="2F5663BF"/>
    <w:rsid w:val="2FCE68D6"/>
    <w:rsid w:val="30315984"/>
    <w:rsid w:val="305F0602"/>
    <w:rsid w:val="30716E5D"/>
    <w:rsid w:val="3087217A"/>
    <w:rsid w:val="30F63B06"/>
    <w:rsid w:val="310615BA"/>
    <w:rsid w:val="311F43A8"/>
    <w:rsid w:val="31710142"/>
    <w:rsid w:val="31740793"/>
    <w:rsid w:val="31F079CE"/>
    <w:rsid w:val="3202302C"/>
    <w:rsid w:val="3206037E"/>
    <w:rsid w:val="327335BE"/>
    <w:rsid w:val="32BA7249"/>
    <w:rsid w:val="341A3984"/>
    <w:rsid w:val="343A645B"/>
    <w:rsid w:val="345174DB"/>
    <w:rsid w:val="348C798B"/>
    <w:rsid w:val="35071B7E"/>
    <w:rsid w:val="35937EDE"/>
    <w:rsid w:val="36033748"/>
    <w:rsid w:val="36B0344B"/>
    <w:rsid w:val="36B1577E"/>
    <w:rsid w:val="36FC1169"/>
    <w:rsid w:val="38656379"/>
    <w:rsid w:val="39E03A1E"/>
    <w:rsid w:val="39E84AA9"/>
    <w:rsid w:val="39EB3446"/>
    <w:rsid w:val="3AA768A5"/>
    <w:rsid w:val="3AFF4189"/>
    <w:rsid w:val="3B55121D"/>
    <w:rsid w:val="3BDC2DAD"/>
    <w:rsid w:val="3C301F95"/>
    <w:rsid w:val="3C4E1762"/>
    <w:rsid w:val="3C583484"/>
    <w:rsid w:val="3CEA27BF"/>
    <w:rsid w:val="3CF30AD8"/>
    <w:rsid w:val="3E686C5A"/>
    <w:rsid w:val="3ED35C30"/>
    <w:rsid w:val="3EE411C9"/>
    <w:rsid w:val="3F627A1B"/>
    <w:rsid w:val="3F6B3CD4"/>
    <w:rsid w:val="3F74126C"/>
    <w:rsid w:val="3F953FE5"/>
    <w:rsid w:val="3FA22AAB"/>
    <w:rsid w:val="3FB50AB4"/>
    <w:rsid w:val="3FB71173"/>
    <w:rsid w:val="404C070C"/>
    <w:rsid w:val="405D6EC6"/>
    <w:rsid w:val="409C6A43"/>
    <w:rsid w:val="40EC153E"/>
    <w:rsid w:val="41244CD5"/>
    <w:rsid w:val="41263D90"/>
    <w:rsid w:val="41330569"/>
    <w:rsid w:val="414F576A"/>
    <w:rsid w:val="42186939"/>
    <w:rsid w:val="42717868"/>
    <w:rsid w:val="42B93695"/>
    <w:rsid w:val="42DA4C03"/>
    <w:rsid w:val="440F2FA0"/>
    <w:rsid w:val="44407BA8"/>
    <w:rsid w:val="446C4929"/>
    <w:rsid w:val="44D2679A"/>
    <w:rsid w:val="44FA1E4B"/>
    <w:rsid w:val="45662FE1"/>
    <w:rsid w:val="459D5943"/>
    <w:rsid w:val="460A7131"/>
    <w:rsid w:val="46635CC8"/>
    <w:rsid w:val="467A0B68"/>
    <w:rsid w:val="46DC6126"/>
    <w:rsid w:val="46F07A8D"/>
    <w:rsid w:val="47185708"/>
    <w:rsid w:val="473E4809"/>
    <w:rsid w:val="477D421B"/>
    <w:rsid w:val="47F767B1"/>
    <w:rsid w:val="480E3176"/>
    <w:rsid w:val="48645079"/>
    <w:rsid w:val="49095283"/>
    <w:rsid w:val="49CF4DA4"/>
    <w:rsid w:val="49D00D3C"/>
    <w:rsid w:val="49DB4DE6"/>
    <w:rsid w:val="4A080028"/>
    <w:rsid w:val="4A185BDF"/>
    <w:rsid w:val="4A55249E"/>
    <w:rsid w:val="4A5F0B07"/>
    <w:rsid w:val="4B3D7090"/>
    <w:rsid w:val="4B4B3B1C"/>
    <w:rsid w:val="4B8657BB"/>
    <w:rsid w:val="4BE4792F"/>
    <w:rsid w:val="4BE53E68"/>
    <w:rsid w:val="4C0058DB"/>
    <w:rsid w:val="4C805E21"/>
    <w:rsid w:val="4D9E7DF9"/>
    <w:rsid w:val="4DD53BC2"/>
    <w:rsid w:val="4DD74D3E"/>
    <w:rsid w:val="4DD82DC9"/>
    <w:rsid w:val="4E052DA8"/>
    <w:rsid w:val="4E127062"/>
    <w:rsid w:val="4EA97B92"/>
    <w:rsid w:val="4EBD11EC"/>
    <w:rsid w:val="4EEE2269"/>
    <w:rsid w:val="4F11159D"/>
    <w:rsid w:val="4F196D41"/>
    <w:rsid w:val="4F1F359E"/>
    <w:rsid w:val="4F591A98"/>
    <w:rsid w:val="4F971D59"/>
    <w:rsid w:val="50012FCF"/>
    <w:rsid w:val="50D86EB5"/>
    <w:rsid w:val="51467D29"/>
    <w:rsid w:val="51473B6E"/>
    <w:rsid w:val="514C4A31"/>
    <w:rsid w:val="515D7ED9"/>
    <w:rsid w:val="51980D0F"/>
    <w:rsid w:val="51AD1800"/>
    <w:rsid w:val="51BD1AA8"/>
    <w:rsid w:val="51D95274"/>
    <w:rsid w:val="51F14A54"/>
    <w:rsid w:val="51FD7227"/>
    <w:rsid w:val="52AB5711"/>
    <w:rsid w:val="52B928E6"/>
    <w:rsid w:val="535F1B8A"/>
    <w:rsid w:val="54255427"/>
    <w:rsid w:val="54CC2FFD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6DC277B"/>
    <w:rsid w:val="5718401A"/>
    <w:rsid w:val="576D5960"/>
    <w:rsid w:val="57820B1C"/>
    <w:rsid w:val="57D21B5D"/>
    <w:rsid w:val="586405B0"/>
    <w:rsid w:val="589D382E"/>
    <w:rsid w:val="590863B5"/>
    <w:rsid w:val="59225598"/>
    <w:rsid w:val="59421C15"/>
    <w:rsid w:val="59452410"/>
    <w:rsid w:val="59EC2E3F"/>
    <w:rsid w:val="5AF42129"/>
    <w:rsid w:val="5BF754C4"/>
    <w:rsid w:val="5C6A26A7"/>
    <w:rsid w:val="5CE62D8D"/>
    <w:rsid w:val="5D0D788B"/>
    <w:rsid w:val="5D8A6039"/>
    <w:rsid w:val="5DCA2F88"/>
    <w:rsid w:val="5DE91F25"/>
    <w:rsid w:val="5E6B1719"/>
    <w:rsid w:val="5F8A3664"/>
    <w:rsid w:val="605B0AC9"/>
    <w:rsid w:val="607B15DB"/>
    <w:rsid w:val="609154D5"/>
    <w:rsid w:val="61092D41"/>
    <w:rsid w:val="611C56C1"/>
    <w:rsid w:val="615E3C03"/>
    <w:rsid w:val="622738F8"/>
    <w:rsid w:val="622C332F"/>
    <w:rsid w:val="62763DF1"/>
    <w:rsid w:val="62787502"/>
    <w:rsid w:val="62E136A6"/>
    <w:rsid w:val="62E24D70"/>
    <w:rsid w:val="64272E67"/>
    <w:rsid w:val="649C3928"/>
    <w:rsid w:val="64C17DA4"/>
    <w:rsid w:val="64E37469"/>
    <w:rsid w:val="66097805"/>
    <w:rsid w:val="66286B1A"/>
    <w:rsid w:val="66295CFB"/>
    <w:rsid w:val="66AD10CB"/>
    <w:rsid w:val="66D670D0"/>
    <w:rsid w:val="66F7391C"/>
    <w:rsid w:val="6713574F"/>
    <w:rsid w:val="67142E0A"/>
    <w:rsid w:val="673E2E63"/>
    <w:rsid w:val="67516E60"/>
    <w:rsid w:val="67F54B3E"/>
    <w:rsid w:val="69131FCE"/>
    <w:rsid w:val="6980611E"/>
    <w:rsid w:val="69F06389"/>
    <w:rsid w:val="6A7C6F70"/>
    <w:rsid w:val="6A990705"/>
    <w:rsid w:val="6AF237E2"/>
    <w:rsid w:val="6B41339C"/>
    <w:rsid w:val="6B5A5904"/>
    <w:rsid w:val="6B7041D4"/>
    <w:rsid w:val="6B76211B"/>
    <w:rsid w:val="6BD50FA6"/>
    <w:rsid w:val="6C04282B"/>
    <w:rsid w:val="6C4E0A74"/>
    <w:rsid w:val="6C764CA9"/>
    <w:rsid w:val="6C835EDA"/>
    <w:rsid w:val="6CC1653E"/>
    <w:rsid w:val="6CF90841"/>
    <w:rsid w:val="6D2A72F9"/>
    <w:rsid w:val="6D463FC5"/>
    <w:rsid w:val="6DB71ACA"/>
    <w:rsid w:val="6DD97AFB"/>
    <w:rsid w:val="6DEE28F9"/>
    <w:rsid w:val="6DEF7A6F"/>
    <w:rsid w:val="6ED109B4"/>
    <w:rsid w:val="6F1149DC"/>
    <w:rsid w:val="6F6B5E81"/>
    <w:rsid w:val="703135D7"/>
    <w:rsid w:val="70A43AA0"/>
    <w:rsid w:val="70AB570D"/>
    <w:rsid w:val="70C8173E"/>
    <w:rsid w:val="71B12C5F"/>
    <w:rsid w:val="724C6614"/>
    <w:rsid w:val="7275384B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FC7DDF"/>
    <w:rsid w:val="796C2DDF"/>
    <w:rsid w:val="79910086"/>
    <w:rsid w:val="79C9648D"/>
    <w:rsid w:val="7A3876B4"/>
    <w:rsid w:val="7AB2148E"/>
    <w:rsid w:val="7B250918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  <w:rsid w:val="7F9A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85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link w:val="95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paragraph" w:customStyle="1" w:styleId="101">
    <w:name w:val="3GPP Normal Text"/>
    <w:basedOn w:val="29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7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2022-02-28T03:01:25Z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